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UNDERSTANDING LESSON GOALS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Based on the given block and SE course level, please perform the following steps in preparation for the upcoming block. The steps are offered in order that you should perform before each block to make your unit and lessons effective &amp; goal-driven.</w:t>
      </w:r>
    </w:p>
    <w:p w:rsidR="00000000" w:rsidDel="00000000" w:rsidP="00000000" w:rsidRDefault="00000000" w:rsidRPr="00000000" w14:paraId="00000005">
      <w:pPr>
        <w:rPr/>
      </w:pPr>
      <w:r w:rsidDel="00000000" w:rsidR="00000000" w:rsidRPr="00000000">
        <w:rPr>
          <w:rtl w:val="0"/>
        </w:rPr>
      </w:r>
    </w:p>
    <w:tbl>
      <w:tblPr>
        <w:tblStyle w:val="Table1"/>
        <w:tblW w:w="9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3165"/>
        <w:gridCol w:w="2880"/>
        <w:tblGridChange w:id="0">
          <w:tblGrid>
            <w:gridCol w:w="3030"/>
            <w:gridCol w:w="3165"/>
            <w:gridCol w:w="2880"/>
          </w:tblGrid>
        </w:tblGridChange>
      </w:tblGrid>
      <w:tr>
        <w:trPr>
          <w:trHeight w:val="460" w:hRule="atLeast"/>
        </w:trPr>
        <w:tc>
          <w:tcPr>
            <w:tcBorders>
              <w:top w:color="434343" w:space="0" w:sz="24" w:val="single"/>
              <w:left w:color="434343" w:space="0" w:sz="24"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Block #/Unit #:</w:t>
            </w:r>
          </w:p>
        </w:tc>
        <w:tc>
          <w:tcPr>
            <w:gridSpan w:val="2"/>
            <w:tcBorders>
              <w:top w:color="434343" w:space="0" w:sz="24" w:val="single"/>
              <w:left w:color="ffffff" w:space="0" w:sz="8" w:val="single"/>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60" w:hRule="atLeast"/>
        </w:trPr>
        <w:tc>
          <w:tcPr>
            <w:tcBorders>
              <w:top w:color="434343" w:space="0" w:sz="24" w:val="single"/>
              <w:left w:color="434343" w:space="0" w:sz="24"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Lesson #: </w:t>
            </w:r>
          </w:p>
        </w:tc>
        <w:tc>
          <w:tcPr>
            <w:gridSpan w:val="2"/>
            <w:tcBorders>
              <w:top w:color="434343" w:space="0" w:sz="24" w:val="single"/>
              <w:left w:color="ffffff" w:space="0" w:sz="8" w:val="single"/>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tcBorders>
              <w:top w:color="ffffff" w:space="0" w:sz="8" w:val="single"/>
              <w:left w:color="434343" w:space="0" w:sz="24" w:val="single"/>
              <w:bottom w:color="434343" w:space="0" w:sz="24"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Lesson name: </w:t>
            </w:r>
          </w:p>
        </w:tc>
        <w:tc>
          <w:tcPr>
            <w:gridSpan w:val="2"/>
            <w:tcBorders>
              <w:top w:color="ffffff" w:space="0" w:sz="8" w:val="single"/>
              <w:left w:color="ffffff" w:space="0" w:sz="8" w:val="single"/>
              <w:bottom w:color="434343" w:space="0" w:sz="2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tcBorders>
              <w:top w:color="434343" w:space="0" w:sz="24" w:val="single"/>
              <w:left w:color="434343" w:space="0" w:sz="24" w:val="single"/>
              <w:bottom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1: </w:t>
            </w:r>
            <w:r w:rsidDel="00000000" w:rsidR="00000000" w:rsidRPr="00000000">
              <w:rPr>
                <w:rtl w:val="0"/>
              </w:rPr>
              <w:t xml:space="preserve">Use </w:t>
            </w:r>
            <w:r w:rsidDel="00000000" w:rsidR="00000000" w:rsidRPr="00000000">
              <w:rPr>
                <w:shd w:fill="b6d7a8" w:val="clear"/>
                <w:rtl w:val="0"/>
              </w:rPr>
              <w:t xml:space="preserve">TASK or applied final exercises</w:t>
            </w:r>
            <w:r w:rsidDel="00000000" w:rsidR="00000000" w:rsidRPr="00000000">
              <w:rPr>
                <w:rtl w:val="0"/>
              </w:rPr>
              <w:t xml:space="preserve"> at the end of a given lesson to understand the practical goal of the class.. </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Review the Final Project Guidelines for the assigned Block/Unit. </w:t>
            </w:r>
          </w:p>
        </w:tc>
      </w:tr>
      <w:tr>
        <w:trPr>
          <w:trHeight w:val="420" w:hRule="atLeast"/>
        </w:trPr>
        <w:tc>
          <w:tcPr>
            <w:gridSpan w:val="3"/>
            <w:tcBorders>
              <w:top w:color="ffffff" w:space="0" w:sz="8" w:val="single"/>
              <w:left w:color="434343" w:space="0" w:sz="24" w:val="single"/>
              <w:bottom w:color="434343" w:space="0" w:sz="24"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Practical goal</w:t>
            </w:r>
            <w:r w:rsidDel="00000000" w:rsidR="00000000" w:rsidRPr="00000000">
              <w:rPr>
                <w:rtl w:val="0"/>
              </w:rPr>
              <w:t xml:space="preserve"> (what should students be able to freely and comfortably talk about or do by the end of the lesson):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tcBorders>
              <w:top w:color="434343" w:space="0" w:sz="24" w:val="single"/>
              <w:left w:color="434343" w:space="0" w:sz="24" w:val="single"/>
              <w:bottom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2: What </w:t>
            </w:r>
            <w:r w:rsidDel="00000000" w:rsidR="00000000" w:rsidRPr="00000000">
              <w:rPr>
                <w:b w:val="1"/>
                <w:u w:val="single"/>
                <w:rtl w:val="0"/>
              </w:rPr>
              <w:t xml:space="preserve">linguistic tools </w:t>
            </w:r>
            <w:r w:rsidDel="00000000" w:rsidR="00000000" w:rsidRPr="00000000">
              <w:rPr>
                <w:b w:val="1"/>
                <w:rtl w:val="0"/>
              </w:rPr>
              <w:t xml:space="preserve">targeted in this lesson have to be monitored and mastered to help student achieve the applied goal of the lesson?</w:t>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Review the content of the lesson and understand specific vocabulary &amp; grammar</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Review  how these vocab and grammar tools are used in practice at the end-of-lesson Tasks.</w:t>
            </w:r>
          </w:p>
        </w:tc>
      </w:tr>
      <w:tr>
        <w:tc>
          <w:tcPr>
            <w:tcBorders>
              <w:top w:color="ffffff" w:space="0" w:sz="8" w:val="single"/>
              <w:left w:color="434343" w:space="0" w:sz="24"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Vocabulary</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sz w:val="20"/>
                <w:szCs w:val="20"/>
                <w:rtl w:val="0"/>
              </w:rPr>
              <w:t xml:space="preserve">What vocabulary categories should the students be able to use by the end of the lesson</w:t>
            </w:r>
            <w:r w:rsidDel="00000000" w:rsidR="00000000" w:rsidRPr="00000000">
              <w:rPr>
                <w:i w:val="1"/>
                <w:rtl w:val="0"/>
              </w:rPr>
              <w:t xml:space="preserve">?</w:t>
            </w:r>
          </w:p>
        </w:tc>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Grammar</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What is the grammatical focus of the block? Identify all aspects covered in Unit 1-4. </w:t>
            </w:r>
          </w:p>
        </w:tc>
        <w:tc>
          <w:tcPr>
            <w:tcBorders>
              <w:top w:color="ffffff" w:space="0" w:sz="8" w:val="single"/>
              <w:left w:color="ffffff" w:space="0" w:sz="8" w:val="single"/>
              <w:bottom w:color="ffffff" w:space="0" w:sz="8" w:val="single"/>
              <w:right w:color="434343" w:space="0" w:sz="2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Rhetorical structures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What rhetorical structures (usually Unit 4) are targeted?</w:t>
            </w:r>
          </w:p>
        </w:tc>
      </w:tr>
      <w:tr>
        <w:tc>
          <w:tcPr>
            <w:tcBorders>
              <w:top w:color="ffffff" w:space="0" w:sz="8" w:val="single"/>
              <w:left w:color="434343" w:space="0" w:sz="24" w:val="single"/>
              <w:bottom w:color="434343" w:space="0" w:sz="24"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434343" w:space="0" w:sz="24"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434343" w:space="0" w:sz="24" w:val="single"/>
              <w:right w:color="434343" w:space="0" w:sz="2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tcBorders>
              <w:top w:color="434343" w:space="0" w:sz="24" w:val="single"/>
              <w:left w:color="434343" w:space="0" w:sz="24" w:val="single"/>
              <w:bottom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STEP 3: </w:t>
            </w:r>
            <w:r w:rsidDel="00000000" w:rsidR="00000000" w:rsidRPr="00000000">
              <w:rPr>
                <w:rtl w:val="0"/>
              </w:rPr>
              <w:t xml:space="preserve">Understand what vocabulary and grammatical tools from the previous blocks provide student with the independent skills to support the acquisition of new topic and linguist tools. </w:t>
            </w:r>
          </w:p>
        </w:tc>
      </w:tr>
      <w:tr>
        <w:tc>
          <w:tcPr>
            <w:tcBorders>
              <w:top w:color="ffffff" w:space="0" w:sz="8" w:val="single"/>
              <w:left w:color="434343" w:space="0" w:sz="24" w:val="single"/>
              <w:bottom w:color="ffffff" w:space="0" w:sz="8" w:val="single"/>
              <w:right w:color="ffffff" w:space="0" w:sz="8"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b w:val="1"/>
                <w:rtl w:val="0"/>
              </w:rPr>
              <w:t xml:space="preserve">Vocabulary</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b w:val="1"/>
                <w:rtl w:val="0"/>
              </w:rPr>
              <w:t xml:space="preserve">Grammar</w:t>
            </w:r>
            <w:r w:rsidDel="00000000" w:rsidR="00000000" w:rsidRPr="00000000">
              <w:rPr>
                <w:rtl w:val="0"/>
              </w:rPr>
            </w:r>
          </w:p>
        </w:tc>
        <w:tc>
          <w:tcPr>
            <w:tcBorders>
              <w:top w:color="ffffff" w:space="0" w:sz="8" w:val="single"/>
              <w:left w:color="ffffff" w:space="0" w:sz="8" w:val="single"/>
              <w:bottom w:color="ffffff" w:space="0" w:sz="8" w:val="single"/>
              <w:right w:color="434343" w:space="0" w:sz="24"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b w:val="1"/>
                <w:rtl w:val="0"/>
              </w:rPr>
              <w:t xml:space="preserve">Rhetorical structures</w:t>
            </w:r>
            <w:r w:rsidDel="00000000" w:rsidR="00000000" w:rsidRPr="00000000">
              <w:rPr>
                <w:rtl w:val="0"/>
              </w:rPr>
            </w:r>
          </w:p>
        </w:tc>
      </w:tr>
      <w:tr>
        <w:tc>
          <w:tcPr>
            <w:tcBorders>
              <w:top w:color="ffffff" w:space="0" w:sz="8" w:val="single"/>
              <w:left w:color="434343" w:space="0" w:sz="24" w:val="single"/>
              <w:bottom w:color="434343" w:space="0" w:sz="24" w:val="single"/>
              <w:right w:color="ffffff" w:space="0" w:sz="8"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rPr>
            </w:pPr>
            <w:r w:rsidDel="00000000" w:rsidR="00000000" w:rsidRPr="00000000">
              <w:rPr>
                <w:rtl w:val="0"/>
              </w:rPr>
            </w:r>
          </w:p>
        </w:tc>
        <w:tc>
          <w:tcPr>
            <w:tcBorders>
              <w:top w:color="ffffff" w:space="0" w:sz="8" w:val="single"/>
              <w:left w:color="ffffff" w:space="0" w:sz="8" w:val="single"/>
              <w:bottom w:color="434343" w:space="0" w:sz="24" w:val="single"/>
              <w:right w:color="ffffff" w:space="0" w:sz="8"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rPr>
            </w:pPr>
            <w:r w:rsidDel="00000000" w:rsidR="00000000" w:rsidRPr="00000000">
              <w:rPr>
                <w:rtl w:val="0"/>
              </w:rPr>
            </w:r>
          </w:p>
        </w:tc>
        <w:tc>
          <w:tcPr>
            <w:tcBorders>
              <w:top w:color="ffffff" w:space="0" w:sz="8" w:val="single"/>
              <w:left w:color="ffffff" w:space="0" w:sz="8" w:val="single"/>
              <w:bottom w:color="434343" w:space="0" w:sz="24" w:val="single"/>
              <w:right w:color="434343" w:space="0" w:sz="24"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rPr>
            </w:pPr>
            <w:r w:rsidDel="00000000" w:rsidR="00000000" w:rsidRPr="00000000">
              <w:rPr>
                <w:rtl w:val="0"/>
              </w:rPr>
            </w:r>
          </w:p>
          <w:p w:rsidR="00000000" w:rsidDel="00000000" w:rsidP="00000000" w:rsidRDefault="00000000" w:rsidRPr="00000000" w14:paraId="00000034">
            <w:pPr>
              <w:widowControl w:val="0"/>
              <w:spacing w:line="240" w:lineRule="auto"/>
              <w:rPr>
                <w:b w:val="1"/>
              </w:rPr>
            </w:pPr>
            <w:r w:rsidDel="00000000" w:rsidR="00000000" w:rsidRPr="00000000">
              <w:rPr>
                <w:rtl w:val="0"/>
              </w:rPr>
            </w:r>
          </w:p>
          <w:p w:rsidR="00000000" w:rsidDel="00000000" w:rsidP="00000000" w:rsidRDefault="00000000" w:rsidRPr="00000000" w14:paraId="00000035">
            <w:pPr>
              <w:widowControl w:val="0"/>
              <w:spacing w:line="240" w:lineRule="auto"/>
              <w:rPr>
                <w:b w:val="1"/>
              </w:rPr>
            </w:pPr>
            <w:r w:rsidDel="00000000" w:rsidR="00000000" w:rsidRPr="00000000">
              <w:rPr>
                <w:rtl w:val="0"/>
              </w:rPr>
            </w:r>
          </w:p>
          <w:p w:rsidR="00000000" w:rsidDel="00000000" w:rsidP="00000000" w:rsidRDefault="00000000" w:rsidRPr="00000000" w14:paraId="00000036">
            <w:pPr>
              <w:widowControl w:val="0"/>
              <w:spacing w:line="240" w:lineRule="auto"/>
              <w:rPr>
                <w:b w:val="1"/>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sectPr>
      <w:headerReference r:id="rId6" w:type="default"/>
      <w:pgSz w:h="16838" w:w="11906" w:orient="portrait"/>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pos="4677"/>
        <w:tab w:val="right" w:pos="9355"/>
      </w:tabs>
      <w:spacing w:line="240" w:lineRule="auto"/>
      <w:ind w:firstLine="142"/>
      <w:rPr>
        <w:rFonts w:ascii="Calibri" w:cs="Calibri" w:eastAsia="Calibri" w:hAnsi="Calibri"/>
      </w:rPr>
    </w:pPr>
    <w:r w:rsidDel="00000000" w:rsidR="00000000" w:rsidRPr="00000000">
      <w:rPr>
        <w:rFonts w:ascii="Calibri" w:cs="Calibri" w:eastAsia="Calibri" w:hAnsi="Calibri"/>
        <w:sz w:val="18"/>
        <w:szCs w:val="18"/>
        <w:rtl w:val="0"/>
      </w:rPr>
      <w:t xml:space="preserve">Global Ambassador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-66674</wp:posOffset>
          </wp:positionH>
          <wp:positionV relativeFrom="paragraph">
            <wp:posOffset>38100</wp:posOffset>
          </wp:positionV>
          <wp:extent cx="1314450" cy="57658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4450" cy="5765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8481060</wp:posOffset>
          </wp:positionH>
          <wp:positionV relativeFrom="paragraph">
            <wp:posOffset>-238215</wp:posOffset>
          </wp:positionV>
          <wp:extent cx="842290" cy="833036"/>
          <wp:effectExtent b="0" l="0" r="0" t="0"/>
          <wp:wrapNone/>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290" cy="833036"/>
                  </a:xfrm>
                  <a:prstGeom prst="rect"/>
                  <a:ln/>
                </pic:spPr>
              </pic:pic>
            </a:graphicData>
          </a:graphic>
        </wp:anchor>
      </w:drawing>
    </w:r>
  </w:p>
  <w:p w:rsidR="00000000" w:rsidDel="00000000" w:rsidP="00000000" w:rsidRDefault="00000000" w:rsidRPr="00000000" w14:paraId="00000039">
    <w:pPr>
      <w:tabs>
        <w:tab w:val="center" w:pos="4677"/>
        <w:tab w:val="right" w:pos="9355"/>
      </w:tabs>
      <w:spacing w:line="240" w:lineRule="auto"/>
      <w:ind w:firstLine="142"/>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Smart English Training Level 1</w:t>
    </w:r>
  </w:p>
  <w:p w:rsidR="00000000" w:rsidDel="00000000" w:rsidP="00000000" w:rsidRDefault="00000000" w:rsidRPr="00000000" w14:paraId="0000003A">
    <w:pPr>
      <w:tabs>
        <w:tab w:val="center" w:pos="4677"/>
        <w:tab w:val="right" w:pos="9355"/>
      </w:tabs>
      <w:spacing w:line="240" w:lineRule="auto"/>
      <w:ind w:firstLine="142"/>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Understanding Block and Lesson Goals</w:t>
    </w:r>
  </w:p>
  <w:p w:rsidR="00000000" w:rsidDel="00000000" w:rsidP="00000000" w:rsidRDefault="00000000" w:rsidRPr="00000000" w14:paraId="0000003B">
    <w:pPr>
      <w:tabs>
        <w:tab w:val="center" w:pos="4677"/>
        <w:tab w:val="right" w:pos="9355"/>
      </w:tabs>
      <w:spacing w:line="240" w:lineRule="auto"/>
      <w:ind w:firstLine="142"/>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Global Ambassador Copyright</w:t>
    </w:r>
  </w:p>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